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2E" w:rsidRDefault="0001192E" w:rsidP="003A6AE0">
      <w:r>
        <w:t>Na natječaju za učitelja matematike vršit će se usmena procjena kandidata.</w:t>
      </w:r>
    </w:p>
    <w:p w:rsidR="0001192E" w:rsidRDefault="0001192E" w:rsidP="003A6AE0">
      <w:r>
        <w:t>Pravni izvori za procjenu kandidata.</w:t>
      </w:r>
      <w:bookmarkStart w:id="0" w:name="_GoBack"/>
      <w:bookmarkEnd w:id="0"/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3A6AE0" w:rsidRDefault="003A6AE0" w:rsidP="003A6AE0">
      <w:r>
        <w:t>4. Pravilnik-o-nacinima-postupcima-i-elementima-vrednovanja-ucenika-u-osnovnoj-i-srednjoj-skoli-2019.pdf</w:t>
      </w:r>
    </w:p>
    <w:sectPr w:rsidR="003A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3A6AE0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2020-10-12T10:19:00Z</dcterms:created>
  <dcterms:modified xsi:type="dcterms:W3CDTF">2020-10-12T10:19:00Z</dcterms:modified>
</cp:coreProperties>
</file>